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01" w:rsidRDefault="006C642F" w:rsidP="00E90D01">
      <w:pPr>
        <w:jc w:val="center"/>
      </w:pPr>
      <w:r>
        <w:t xml:space="preserve">Registro </w:t>
      </w:r>
      <w:r w:rsidR="00E90D01">
        <w:t>YOUNGTAVI</w:t>
      </w:r>
    </w:p>
    <w:p w:rsidR="00E90D01" w:rsidRDefault="00E90D01" w:rsidP="00E90D01">
      <w:pPr>
        <w:jc w:val="center"/>
      </w:pPr>
      <w:r>
        <w:t>Estudio de durabilidad de la prótesis aórtica transcateter</w:t>
      </w:r>
      <w:r w:rsidR="0053226D">
        <w:t xml:space="preserve"> </w:t>
      </w:r>
      <w:r w:rsidR="00EE6009">
        <w:t xml:space="preserve">implantada </w:t>
      </w:r>
      <w:r w:rsidR="0053226D">
        <w:t xml:space="preserve">en pacientes </w:t>
      </w:r>
      <w:r w:rsidR="00552075">
        <w:t>jóvenes</w:t>
      </w:r>
    </w:p>
    <w:p w:rsidR="00E90D01" w:rsidRDefault="00E90D01" w:rsidP="00E4440E">
      <w:pPr>
        <w:jc w:val="both"/>
      </w:pPr>
    </w:p>
    <w:p w:rsidR="0053226D" w:rsidRDefault="0053226D" w:rsidP="00E4440E">
      <w:pPr>
        <w:jc w:val="both"/>
      </w:pPr>
    </w:p>
    <w:p w:rsidR="0053226D" w:rsidRDefault="00552075" w:rsidP="00E4440E">
      <w:pPr>
        <w:jc w:val="both"/>
      </w:pPr>
      <w:r>
        <w:t>INTRODUCCION</w:t>
      </w:r>
    </w:p>
    <w:p w:rsidR="00552075" w:rsidRDefault="00552075" w:rsidP="00E4440E">
      <w:pPr>
        <w:jc w:val="both"/>
      </w:pPr>
    </w:p>
    <w:p w:rsidR="00162FDA" w:rsidRDefault="00B11014" w:rsidP="00E4440E">
      <w:pPr>
        <w:jc w:val="both"/>
      </w:pPr>
      <w:r w:rsidRPr="00B11014">
        <w:t xml:space="preserve">El </w:t>
      </w:r>
      <w:r w:rsidR="00552075">
        <w:t>crecimiento</w:t>
      </w:r>
      <w:r w:rsidRPr="00B11014">
        <w:t xml:space="preserve"> del </w:t>
      </w:r>
      <w:r>
        <w:t>implante transcateter de la válvula aórtica (</w:t>
      </w:r>
      <w:r w:rsidRPr="00B11014">
        <w:t>TAVI</w:t>
      </w:r>
      <w:r>
        <w:t xml:space="preserve"> en su acrónimo inglés)</w:t>
      </w:r>
      <w:r w:rsidRPr="00B11014">
        <w:t xml:space="preserve"> es </w:t>
      </w:r>
      <w:r w:rsidR="00552075">
        <w:t>muy importante</w:t>
      </w:r>
      <w:r w:rsidRPr="00B11014">
        <w:t xml:space="preserve">. </w:t>
      </w:r>
      <w:r w:rsidR="00EE6009">
        <w:t>Hasta este momento se han implantado</w:t>
      </w:r>
      <w:r w:rsidR="000C157F">
        <w:t xml:space="preserve"> mas de 250.000 prótesis en mas de 65 países. </w:t>
      </w:r>
      <w:r w:rsidRPr="00B11014">
        <w:t xml:space="preserve">En nuestro País </w:t>
      </w:r>
      <w:r w:rsidR="001914E1">
        <w:t>casi el 50</w:t>
      </w:r>
      <w:r w:rsidRPr="00B11014">
        <w:t xml:space="preserve">% de los implantes de prótesis aórtica aislada ya es </w:t>
      </w:r>
      <w:r>
        <w:t>t</w:t>
      </w:r>
      <w:r w:rsidRPr="00B11014">
        <w:t>ranscateter.</w:t>
      </w:r>
    </w:p>
    <w:p w:rsidR="00162FDA" w:rsidRDefault="00162FDA" w:rsidP="00E4440E">
      <w:pPr>
        <w:jc w:val="both"/>
      </w:pPr>
    </w:p>
    <w:p w:rsidR="00E4440E" w:rsidRDefault="00B11014" w:rsidP="00E4440E">
      <w:pPr>
        <w:jc w:val="both"/>
      </w:pPr>
      <w:r>
        <w:t>Sabemos que en los pacientes</w:t>
      </w:r>
      <w:r w:rsidR="00E4440E">
        <w:t xml:space="preserve"> con estenosis aórtica severa sintomática, </w:t>
      </w:r>
      <w:r>
        <w:t xml:space="preserve">el </w:t>
      </w:r>
      <w:r w:rsidR="00E4440E">
        <w:t xml:space="preserve">resultado del </w:t>
      </w:r>
      <w:r>
        <w:t xml:space="preserve">TAVI </w:t>
      </w:r>
      <w:r w:rsidR="00E4440E">
        <w:t xml:space="preserve">es mejor que el tratamiento médico en </w:t>
      </w:r>
      <w:r w:rsidR="000C157F">
        <w:t xml:space="preserve">aquellos </w:t>
      </w:r>
      <w:r w:rsidR="00E4440E">
        <w:t>inoperables e igual</w:t>
      </w:r>
      <w:r w:rsidR="00552075">
        <w:t>,</w:t>
      </w:r>
      <w:r w:rsidR="00E4440E">
        <w:t xml:space="preserve"> y en algunos casos superior</w:t>
      </w:r>
      <w:r w:rsidR="00552075">
        <w:t>,</w:t>
      </w:r>
      <w:r w:rsidR="00E4440E">
        <w:t xml:space="preserve"> al resultado de implante quirúrgico</w:t>
      </w:r>
      <w:r w:rsidR="00552075">
        <w:t xml:space="preserve"> en los pacientes de riesgo alto e intermedio</w:t>
      </w:r>
      <w:r w:rsidR="000C157F">
        <w:t>.</w:t>
      </w:r>
    </w:p>
    <w:p w:rsidR="00E4440E" w:rsidRDefault="00E4440E" w:rsidP="00E4440E">
      <w:pPr>
        <w:jc w:val="both"/>
      </w:pPr>
    </w:p>
    <w:p w:rsidR="00E4440E" w:rsidRDefault="00E4440E" w:rsidP="00E4440E">
      <w:pPr>
        <w:jc w:val="both"/>
      </w:pPr>
      <w:r>
        <w:t xml:space="preserve">En los próximos meses se esperan los resultados de </w:t>
      </w:r>
      <w:r w:rsidR="001914E1">
        <w:t>tres</w:t>
      </w:r>
      <w:r>
        <w:t xml:space="preserve"> estudios randomizados comparando el TAVI con el implante quirúrgico de válvula aórtica y las expectativas son que el TAVI no será inferior a la cirugía. De hecho en un registro prospectivo aprobado por la FDA, recientemente publicado</w:t>
      </w:r>
      <w:r w:rsidR="003829A3">
        <w:t xml:space="preserve"> (1)</w:t>
      </w:r>
      <w:r>
        <w:t>, el implante de TAVI en pacientes de bajo riesgo (STS&lt;3) obtuvo unos resultados excelentes con mortalidad a 30 días de 0</w:t>
      </w:r>
      <w:r w:rsidR="000C157F">
        <w:t xml:space="preserve"> y una tasa de implante de marcapasos del 4%</w:t>
      </w:r>
      <w:r>
        <w:t>.</w:t>
      </w:r>
      <w:r w:rsidR="000C157F">
        <w:t xml:space="preserve"> </w:t>
      </w:r>
      <w:r>
        <w:t>Si estos resultados se confirman en los estudios randomizados, la indicación de TAVI se extenderá a todos los pacientes con estenosis aórtica severa sintomática independientemente de su riesgo quirúrgico.</w:t>
      </w:r>
    </w:p>
    <w:p w:rsidR="00B11014" w:rsidRDefault="00B11014" w:rsidP="00E4440E">
      <w:pPr>
        <w:jc w:val="both"/>
      </w:pPr>
    </w:p>
    <w:p w:rsidR="00552075" w:rsidRDefault="00552075" w:rsidP="00552075">
      <w:pPr>
        <w:jc w:val="both"/>
      </w:pPr>
      <w:r w:rsidRPr="00B11014">
        <w:t xml:space="preserve">Las limitaciones </w:t>
      </w:r>
      <w:r>
        <w:t xml:space="preserve">mas importantes del TAVI </w:t>
      </w:r>
      <w:r w:rsidRPr="00B11014">
        <w:t>son</w:t>
      </w:r>
      <w:r>
        <w:t xml:space="preserve"> la</w:t>
      </w:r>
      <w:r w:rsidRPr="00B11014">
        <w:t xml:space="preserve"> </w:t>
      </w:r>
      <w:r>
        <w:t>insuficiencia aórtica perivalvular (IAP) residual</w:t>
      </w:r>
      <w:r w:rsidRPr="00B11014">
        <w:t xml:space="preserve">, </w:t>
      </w:r>
      <w:r>
        <w:t xml:space="preserve">la </w:t>
      </w:r>
      <w:r w:rsidRPr="00B11014">
        <w:t>necesidad de implante de marcapasos</w:t>
      </w:r>
      <w:r>
        <w:t xml:space="preserve"> definitivo</w:t>
      </w:r>
      <w:r w:rsidRPr="00B11014">
        <w:t xml:space="preserve"> </w:t>
      </w:r>
      <w:r>
        <w:t xml:space="preserve">(MPD) </w:t>
      </w:r>
      <w:r w:rsidRPr="00B11014">
        <w:t xml:space="preserve">y </w:t>
      </w:r>
      <w:r>
        <w:t xml:space="preserve">la </w:t>
      </w:r>
      <w:r w:rsidRPr="00B11014">
        <w:t>duración sin degeneración de la prótesis.</w:t>
      </w:r>
      <w:r>
        <w:t xml:space="preserve"> Debido a los avances técnicos y a la creciente experiencia de los equipos implantadores tanto la IAP, como la tasa de implante de MP han ido disminuyendo hasta limites clínicamente aceptables. La gran incógnita, que solo el tiempo podrá resolver, es la duración sin degeneración de la prótesis implantada.</w:t>
      </w:r>
    </w:p>
    <w:p w:rsidR="00552075" w:rsidRDefault="00552075" w:rsidP="00E4440E">
      <w:pPr>
        <w:jc w:val="both"/>
      </w:pPr>
    </w:p>
    <w:p w:rsidR="00B11014" w:rsidRDefault="00E4440E" w:rsidP="00E4440E">
      <w:pPr>
        <w:jc w:val="both"/>
      </w:pPr>
      <w:r>
        <w:t xml:space="preserve">Una proporción </w:t>
      </w:r>
      <w:r w:rsidR="00552075">
        <w:t>significativa</w:t>
      </w:r>
      <w:r>
        <w:t xml:space="preserve"> de los pacientes de bajo riesgo quirúrgico lo constituyen pacientes </w:t>
      </w:r>
      <w:r w:rsidR="00162FDA">
        <w:t>jóvenes, menores de 80 años</w:t>
      </w:r>
      <w:r w:rsidR="00552075">
        <w:t>,</w:t>
      </w:r>
      <w:r w:rsidR="00162FDA">
        <w:t xml:space="preserve"> con una expectativa de vida de 10 a 15 años </w:t>
      </w:r>
      <w:r w:rsidR="000C157F">
        <w:t xml:space="preserve">tras el implante </w:t>
      </w:r>
      <w:r w:rsidR="00162FDA">
        <w:t>y es en estos pacientes donde la durabilidad de la prótesis será un elemento crucial a la hora de elegir entre un recambio de la válvula aórtica quirúrgica o percutánea.</w:t>
      </w:r>
    </w:p>
    <w:p w:rsidR="00162FDA" w:rsidRDefault="00162FDA" w:rsidP="00E4440E">
      <w:pPr>
        <w:jc w:val="both"/>
      </w:pPr>
    </w:p>
    <w:p w:rsidR="00162FDA" w:rsidRDefault="000C157F" w:rsidP="00E4440E">
      <w:pPr>
        <w:jc w:val="both"/>
      </w:pPr>
      <w:r>
        <w:t>P</w:t>
      </w:r>
      <w:r w:rsidR="00162FDA">
        <w:t>or ello proponemos un registro prospectivo de seguimiento de los pacientes menores de 80 años a  los que se les implante una prótesis aórtica percutánea</w:t>
      </w:r>
      <w:r w:rsidR="00552075">
        <w:t xml:space="preserve"> que permita conocer cual es la tasa de degeneración en este grupo concreto de pacientes</w:t>
      </w:r>
      <w:r w:rsidR="00162FDA">
        <w:t>.</w:t>
      </w:r>
    </w:p>
    <w:p w:rsidR="00162FDA" w:rsidRDefault="00162FDA" w:rsidP="00E4440E">
      <w:pPr>
        <w:jc w:val="both"/>
      </w:pPr>
    </w:p>
    <w:p w:rsidR="00552075" w:rsidRDefault="00552075" w:rsidP="00DF217D">
      <w:pPr>
        <w:ind w:left="55"/>
        <w:jc w:val="both"/>
      </w:pPr>
      <w:r>
        <w:t>OBJETIVO DEL ESTUDIO</w:t>
      </w:r>
    </w:p>
    <w:p w:rsidR="00552075" w:rsidRDefault="00552075" w:rsidP="00DF217D">
      <w:pPr>
        <w:ind w:left="55"/>
        <w:jc w:val="both"/>
      </w:pPr>
    </w:p>
    <w:p w:rsidR="00552075" w:rsidRDefault="00552075" w:rsidP="00DF217D">
      <w:pPr>
        <w:ind w:left="55"/>
        <w:jc w:val="both"/>
      </w:pPr>
      <w:r>
        <w:t>Conocer la durabilidad de las prótesis aorticas transcateter implantadas en pacientes con estenosis aórtica severa sintomática menores de 80 años</w:t>
      </w:r>
    </w:p>
    <w:p w:rsidR="00552075" w:rsidRDefault="00F075D3" w:rsidP="00DF217D">
      <w:pPr>
        <w:ind w:left="55"/>
        <w:jc w:val="both"/>
      </w:pPr>
      <w:r>
        <w:lastRenderedPageBreak/>
        <w:t>VARIABLE PRINCIPAL</w:t>
      </w:r>
    </w:p>
    <w:p w:rsidR="00F075D3" w:rsidRDefault="00F075D3" w:rsidP="00DF217D">
      <w:pPr>
        <w:ind w:left="55"/>
        <w:jc w:val="both"/>
      </w:pPr>
    </w:p>
    <w:p w:rsidR="00F075D3" w:rsidRDefault="00F075D3" w:rsidP="00DF217D">
      <w:pPr>
        <w:ind w:left="55"/>
        <w:jc w:val="both"/>
      </w:pPr>
      <w:r>
        <w:t xml:space="preserve">Criterios ecocardiográficos de degeneración de la prótesis aórtica </w:t>
      </w:r>
    </w:p>
    <w:p w:rsidR="00552075" w:rsidRDefault="00552075" w:rsidP="00DF217D">
      <w:pPr>
        <w:ind w:left="55"/>
        <w:jc w:val="both"/>
      </w:pPr>
    </w:p>
    <w:p w:rsidR="00552075" w:rsidRDefault="00552075" w:rsidP="00DF217D">
      <w:pPr>
        <w:ind w:left="55"/>
        <w:jc w:val="both"/>
      </w:pPr>
    </w:p>
    <w:p w:rsidR="00DF217D" w:rsidRDefault="00DF217D" w:rsidP="00DF217D">
      <w:pPr>
        <w:ind w:left="55"/>
        <w:jc w:val="both"/>
      </w:pPr>
      <w:r>
        <w:t>CRITERIOS DE INCLUSIÓN</w:t>
      </w:r>
    </w:p>
    <w:p w:rsidR="00DF217D" w:rsidRDefault="00DF217D" w:rsidP="00DF217D">
      <w:pPr>
        <w:ind w:left="55"/>
        <w:jc w:val="both"/>
      </w:pPr>
    </w:p>
    <w:p w:rsidR="00DF217D" w:rsidRDefault="00DF217D" w:rsidP="00DF217D">
      <w:pPr>
        <w:ind w:left="55"/>
        <w:jc w:val="both"/>
      </w:pPr>
      <w:r>
        <w:t>Pacientes menores de 80 años con estenosis aórtica severa a los que se les implantó una prótesis aórtica transcateter independientemente del tipo de válvula y de la vía de acceso utilizada.</w:t>
      </w:r>
    </w:p>
    <w:p w:rsidR="00DF217D" w:rsidRDefault="00DF217D" w:rsidP="00DF217D">
      <w:pPr>
        <w:jc w:val="both"/>
      </w:pPr>
    </w:p>
    <w:p w:rsidR="00552075" w:rsidRDefault="00552075" w:rsidP="00E4440E">
      <w:pPr>
        <w:jc w:val="both"/>
      </w:pPr>
    </w:p>
    <w:p w:rsidR="00162FDA" w:rsidRDefault="00162FDA" w:rsidP="00E4440E">
      <w:pPr>
        <w:jc w:val="both"/>
      </w:pPr>
      <w:r>
        <w:t>MATERIAL Y MÉTODO</w:t>
      </w:r>
    </w:p>
    <w:p w:rsidR="00162FDA" w:rsidRDefault="00162FDA" w:rsidP="00E4440E">
      <w:pPr>
        <w:jc w:val="both"/>
      </w:pPr>
    </w:p>
    <w:p w:rsidR="00E90D01" w:rsidRDefault="00E90D01" w:rsidP="008E3276">
      <w:pPr>
        <w:pStyle w:val="Prrafodelista"/>
        <w:numPr>
          <w:ilvl w:val="0"/>
          <w:numId w:val="3"/>
        </w:numPr>
        <w:jc w:val="both"/>
      </w:pPr>
      <w:r>
        <w:t>Participación</w:t>
      </w:r>
      <w:r w:rsidR="00162FDA">
        <w:t xml:space="preserve"> </w:t>
      </w:r>
      <w:r>
        <w:t xml:space="preserve">voluntaria </w:t>
      </w:r>
      <w:r w:rsidR="00162FDA">
        <w:t xml:space="preserve">de los centros </w:t>
      </w:r>
      <w:r>
        <w:t xml:space="preserve">con programa estructurado de TAVI </w:t>
      </w:r>
      <w:r w:rsidR="00F075D3">
        <w:t>que acepten</w:t>
      </w:r>
      <w:r w:rsidR="00162FDA">
        <w:t xml:space="preserve"> el compromiso de</w:t>
      </w:r>
      <w:r>
        <w:t>:</w:t>
      </w:r>
    </w:p>
    <w:p w:rsidR="00E90D01" w:rsidRDefault="00E90D01" w:rsidP="008E3276">
      <w:pPr>
        <w:pStyle w:val="Prrafodelista"/>
        <w:numPr>
          <w:ilvl w:val="1"/>
          <w:numId w:val="3"/>
        </w:numPr>
        <w:jc w:val="both"/>
      </w:pPr>
      <w:r>
        <w:t>I</w:t>
      </w:r>
      <w:r w:rsidR="00162FDA">
        <w:t xml:space="preserve">nclusión </w:t>
      </w:r>
      <w:r>
        <w:t xml:space="preserve">consecutiva </w:t>
      </w:r>
      <w:r w:rsidR="00162FDA">
        <w:t>de “todos” los TAVI que se realicen</w:t>
      </w:r>
      <w:r>
        <w:t xml:space="preserve">. </w:t>
      </w:r>
    </w:p>
    <w:p w:rsidR="00162FDA" w:rsidRDefault="00E90D01" w:rsidP="008E3276">
      <w:pPr>
        <w:pStyle w:val="Prrafodelista"/>
        <w:numPr>
          <w:ilvl w:val="1"/>
          <w:numId w:val="3"/>
        </w:numPr>
        <w:jc w:val="both"/>
      </w:pPr>
      <w:r>
        <w:t>Relleno de los datos basales y de procedimiento del CRF antes del alta del paciente</w:t>
      </w:r>
      <w:r w:rsidR="00DF217D">
        <w:t xml:space="preserve"> del episodio del implante</w:t>
      </w:r>
      <w:r>
        <w:t>.</w:t>
      </w:r>
    </w:p>
    <w:p w:rsidR="00E90D01" w:rsidRDefault="00E90D01" w:rsidP="008E3276">
      <w:pPr>
        <w:pStyle w:val="Prrafodelista"/>
        <w:numPr>
          <w:ilvl w:val="1"/>
          <w:numId w:val="3"/>
        </w:numPr>
        <w:jc w:val="both"/>
      </w:pPr>
      <w:r>
        <w:t xml:space="preserve">Realización de Ecocardiograma </w:t>
      </w:r>
      <w:r w:rsidR="00DF217D">
        <w:t xml:space="preserve">antes del alta (opcional) </w:t>
      </w:r>
      <w:r w:rsidR="000C157F">
        <w:t xml:space="preserve">y obligatorio </w:t>
      </w:r>
      <w:r>
        <w:t>a los 3 meses</w:t>
      </w:r>
      <w:r w:rsidR="00DF217D">
        <w:t xml:space="preserve"> y</w:t>
      </w:r>
      <w:r>
        <w:t xml:space="preserve"> 1 año del implante. Posteriormente un estudio anual.</w:t>
      </w:r>
    </w:p>
    <w:p w:rsidR="00564797" w:rsidRDefault="00E90D01" w:rsidP="008E3276">
      <w:pPr>
        <w:pStyle w:val="Prrafodelista"/>
        <w:numPr>
          <w:ilvl w:val="0"/>
          <w:numId w:val="3"/>
        </w:numPr>
        <w:jc w:val="both"/>
      </w:pPr>
      <w:r>
        <w:t xml:space="preserve">Todas las variables </w:t>
      </w:r>
      <w:proofErr w:type="spellStart"/>
      <w:r w:rsidR="001914E1">
        <w:t>estan</w:t>
      </w:r>
      <w:proofErr w:type="spellEnd"/>
      <w:r>
        <w:t xml:space="preserve"> </w:t>
      </w:r>
      <w:r w:rsidR="00DF217D">
        <w:t xml:space="preserve">definidas </w:t>
      </w:r>
      <w:r>
        <w:t>de acuerdo con los criterios VARC</w:t>
      </w:r>
      <w:r w:rsidR="00BB76A4">
        <w:t>-</w:t>
      </w:r>
      <w:r>
        <w:t>2</w:t>
      </w:r>
      <w:r w:rsidR="003829A3">
        <w:t xml:space="preserve"> (2)</w:t>
      </w:r>
      <w:r>
        <w:t xml:space="preserve"> </w:t>
      </w:r>
    </w:p>
    <w:p w:rsidR="00F075D3" w:rsidRDefault="00564797" w:rsidP="00611332">
      <w:pPr>
        <w:pStyle w:val="Prrafodelista"/>
        <w:numPr>
          <w:ilvl w:val="0"/>
          <w:numId w:val="3"/>
        </w:numPr>
        <w:jc w:val="both"/>
      </w:pPr>
      <w:r>
        <w:t>L</w:t>
      </w:r>
      <w:r w:rsidR="00E90D01">
        <w:t>os criterios de disfunción valvular serán los de</w:t>
      </w:r>
      <w:r w:rsidR="000C157F">
        <w:t xml:space="preserve">l consenso de la </w:t>
      </w:r>
      <w:proofErr w:type="spellStart"/>
      <w:r w:rsidR="000C157F" w:rsidRPr="000C157F">
        <w:t>European</w:t>
      </w:r>
      <w:proofErr w:type="spellEnd"/>
      <w:r w:rsidR="000C157F" w:rsidRPr="000C157F">
        <w:t xml:space="preserve"> Association of </w:t>
      </w:r>
      <w:proofErr w:type="spellStart"/>
      <w:r w:rsidR="000C157F" w:rsidRPr="000C157F">
        <w:t>Percutaneous</w:t>
      </w:r>
      <w:proofErr w:type="spellEnd"/>
      <w:r w:rsidR="000C157F" w:rsidRPr="000C157F">
        <w:t xml:space="preserve"> Cardiovascular </w:t>
      </w:r>
      <w:proofErr w:type="spellStart"/>
      <w:r w:rsidR="000C157F" w:rsidRPr="000C157F">
        <w:t>Interventions</w:t>
      </w:r>
      <w:proofErr w:type="spellEnd"/>
      <w:r w:rsidR="000C157F" w:rsidRPr="000C157F">
        <w:t xml:space="preserve"> (EAPCI) </w:t>
      </w:r>
      <w:proofErr w:type="spellStart"/>
      <w:r w:rsidR="000C157F" w:rsidRPr="000C157F">
        <w:t>endorsed</w:t>
      </w:r>
      <w:proofErr w:type="spellEnd"/>
      <w:r w:rsidR="000C157F" w:rsidRPr="000C157F">
        <w:t xml:space="preserve"> </w:t>
      </w:r>
      <w:proofErr w:type="spellStart"/>
      <w:r w:rsidR="000C157F" w:rsidRPr="000C157F">
        <w:t>by</w:t>
      </w:r>
      <w:proofErr w:type="spellEnd"/>
      <w:r w:rsidR="000C157F" w:rsidRPr="000C157F">
        <w:t xml:space="preserve"> </w:t>
      </w:r>
      <w:proofErr w:type="spellStart"/>
      <w:r w:rsidR="000C157F" w:rsidRPr="000C157F">
        <w:t>the</w:t>
      </w:r>
      <w:proofErr w:type="spellEnd"/>
      <w:r w:rsidR="000C157F" w:rsidRPr="000C157F">
        <w:t xml:space="preserve"> </w:t>
      </w:r>
      <w:proofErr w:type="spellStart"/>
      <w:r w:rsidR="000C157F" w:rsidRPr="000C157F">
        <w:t>European</w:t>
      </w:r>
      <w:proofErr w:type="spellEnd"/>
      <w:r w:rsidR="000C157F" w:rsidRPr="000C157F">
        <w:t xml:space="preserve"> Society of </w:t>
      </w:r>
      <w:proofErr w:type="spellStart"/>
      <w:r w:rsidR="000C157F" w:rsidRPr="000C157F">
        <w:t>Cardiology</w:t>
      </w:r>
      <w:proofErr w:type="spellEnd"/>
      <w:r w:rsidR="000C157F" w:rsidRPr="000C157F">
        <w:t xml:space="preserve"> (ESC) and </w:t>
      </w:r>
      <w:proofErr w:type="spellStart"/>
      <w:r w:rsidR="000C157F" w:rsidRPr="000C157F">
        <w:t>the</w:t>
      </w:r>
      <w:proofErr w:type="spellEnd"/>
      <w:r w:rsidR="000C157F" w:rsidRPr="000C157F">
        <w:t xml:space="preserve"> </w:t>
      </w:r>
      <w:proofErr w:type="spellStart"/>
      <w:r w:rsidR="000C157F" w:rsidRPr="000C157F">
        <w:t>European</w:t>
      </w:r>
      <w:proofErr w:type="spellEnd"/>
      <w:r w:rsidR="000C157F" w:rsidRPr="000C157F">
        <w:t xml:space="preserve"> Association </w:t>
      </w:r>
      <w:proofErr w:type="spellStart"/>
      <w:r w:rsidR="000C157F" w:rsidRPr="000C157F">
        <w:t>for</w:t>
      </w:r>
      <w:proofErr w:type="spellEnd"/>
      <w:r w:rsidR="000C157F" w:rsidRPr="000C157F">
        <w:t xml:space="preserve"> Cardio-</w:t>
      </w:r>
      <w:proofErr w:type="spellStart"/>
      <w:r w:rsidR="000C157F" w:rsidRPr="000C157F">
        <w:t>Thoracic</w:t>
      </w:r>
      <w:proofErr w:type="spellEnd"/>
      <w:r w:rsidR="000C157F" w:rsidRPr="000C157F">
        <w:t xml:space="preserve"> </w:t>
      </w:r>
      <w:proofErr w:type="spellStart"/>
      <w:r w:rsidR="000C157F" w:rsidRPr="000C157F">
        <w:t>Surgery</w:t>
      </w:r>
      <w:proofErr w:type="spellEnd"/>
      <w:r w:rsidR="000C157F" w:rsidRPr="000C157F">
        <w:t xml:space="preserve"> (EACTS)</w:t>
      </w:r>
      <w:r w:rsidR="003829A3">
        <w:t xml:space="preserve"> (3)</w:t>
      </w:r>
      <w:r>
        <w:t>.</w:t>
      </w:r>
    </w:p>
    <w:p w:rsidR="00F075D3" w:rsidRDefault="00F075D3" w:rsidP="008E3276">
      <w:pPr>
        <w:pStyle w:val="Prrafodelista"/>
        <w:numPr>
          <w:ilvl w:val="0"/>
          <w:numId w:val="3"/>
        </w:numPr>
        <w:jc w:val="both"/>
      </w:pPr>
      <w:r>
        <w:t>El registro de los datos se realizará mediante un CRF on-line. Cada centro tendrá acceso a s</w:t>
      </w:r>
      <w:r w:rsidR="008E3276">
        <w:t>us datos y a los totales y de forma agrupada.</w:t>
      </w:r>
    </w:p>
    <w:p w:rsidR="001914E1" w:rsidRDefault="001914E1" w:rsidP="008E3276">
      <w:pPr>
        <w:pStyle w:val="Prrafodelista"/>
        <w:numPr>
          <w:ilvl w:val="0"/>
          <w:numId w:val="3"/>
        </w:numPr>
        <w:jc w:val="both"/>
      </w:pPr>
      <w:r>
        <w:t xml:space="preserve">Se </w:t>
      </w:r>
      <w:proofErr w:type="spellStart"/>
      <w:r>
        <w:t>establecera</w:t>
      </w:r>
      <w:proofErr w:type="spellEnd"/>
      <w:r>
        <w:t xml:space="preserve"> un sistema de auditoría que garantice la calidad de la información.</w:t>
      </w:r>
      <w:bookmarkStart w:id="0" w:name="_GoBack"/>
      <w:bookmarkEnd w:id="0"/>
    </w:p>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Pr="00564797" w:rsidRDefault="00564797" w:rsidP="00564797"/>
    <w:p w:rsidR="00564797" w:rsidRDefault="00564797"/>
    <w:p w:rsidR="00564797" w:rsidRDefault="00564797" w:rsidP="003829A3">
      <w:pPr>
        <w:ind w:firstLine="415"/>
      </w:pPr>
      <w:r>
        <w:t>BIBLIOGRAFÍA</w:t>
      </w:r>
    </w:p>
    <w:p w:rsidR="003829A3" w:rsidRDefault="003829A3" w:rsidP="003829A3">
      <w:pPr>
        <w:jc w:val="both"/>
      </w:pPr>
    </w:p>
    <w:p w:rsidR="00564797" w:rsidRPr="003829A3" w:rsidRDefault="003829A3" w:rsidP="003829A3">
      <w:pPr>
        <w:pStyle w:val="Prrafodelista"/>
        <w:numPr>
          <w:ilvl w:val="0"/>
          <w:numId w:val="4"/>
        </w:numPr>
        <w:jc w:val="both"/>
        <w:rPr>
          <w:lang w:val="en-US"/>
        </w:rPr>
      </w:pPr>
      <w:r w:rsidRPr="003829A3">
        <w:rPr>
          <w:lang w:val="en-US"/>
        </w:rPr>
        <w:t xml:space="preserve">Waksman R, Rogers T, </w:t>
      </w:r>
      <w:proofErr w:type="spellStart"/>
      <w:r w:rsidRPr="003829A3">
        <w:rPr>
          <w:lang w:val="en-US"/>
        </w:rPr>
        <w:t>Torguson</w:t>
      </w:r>
      <w:proofErr w:type="spellEnd"/>
      <w:r w:rsidRPr="003829A3">
        <w:rPr>
          <w:lang w:val="en-US"/>
        </w:rPr>
        <w:t xml:space="preserve"> R, Gordon P et al. Transcatheter Aortic Valve Replacement in Low-Risk Patients with Symptomatic Severe Aortic Stenosis, Journal of the American College of Cardiology (2018), </w:t>
      </w:r>
      <w:proofErr w:type="spellStart"/>
      <w:r w:rsidRPr="003829A3">
        <w:rPr>
          <w:lang w:val="en-US"/>
        </w:rPr>
        <w:t>doi</w:t>
      </w:r>
      <w:proofErr w:type="spellEnd"/>
      <w:r w:rsidRPr="003829A3">
        <w:rPr>
          <w:lang w:val="en-US"/>
        </w:rPr>
        <w:t>: 10.1016/j.jacc.2018.08.1033.</w:t>
      </w:r>
    </w:p>
    <w:p w:rsidR="003829A3" w:rsidRPr="003829A3" w:rsidRDefault="003829A3" w:rsidP="00564797">
      <w:pPr>
        <w:ind w:left="415"/>
        <w:jc w:val="both"/>
        <w:rPr>
          <w:lang w:val="en-US"/>
        </w:rPr>
      </w:pPr>
    </w:p>
    <w:p w:rsidR="003829A3" w:rsidRPr="003829A3" w:rsidRDefault="003829A3" w:rsidP="003829A3">
      <w:pPr>
        <w:pStyle w:val="Prrafodelista"/>
        <w:numPr>
          <w:ilvl w:val="0"/>
          <w:numId w:val="4"/>
        </w:numPr>
        <w:jc w:val="both"/>
        <w:rPr>
          <w:lang w:val="en-US"/>
        </w:rPr>
      </w:pPr>
      <w:proofErr w:type="spellStart"/>
      <w:r w:rsidRPr="003829A3">
        <w:rPr>
          <w:lang w:val="en-US"/>
        </w:rPr>
        <w:t>Kappetein</w:t>
      </w:r>
      <w:proofErr w:type="spellEnd"/>
      <w:r w:rsidRPr="003829A3">
        <w:rPr>
          <w:lang w:val="en-US"/>
        </w:rPr>
        <w:t xml:space="preserve"> AP, Head SJ, </w:t>
      </w:r>
      <w:proofErr w:type="spellStart"/>
      <w:r w:rsidRPr="003829A3">
        <w:rPr>
          <w:lang w:val="en-US"/>
        </w:rPr>
        <w:t>Genereux</w:t>
      </w:r>
      <w:proofErr w:type="spellEnd"/>
      <w:r w:rsidRPr="003829A3">
        <w:rPr>
          <w:lang w:val="en-US"/>
        </w:rPr>
        <w:t xml:space="preserve"> P, Piazza N, et al. Updated standardized endpoint definitions for transcatheter aortic valve implantation: the Valve Academic Research Consortium-2 consensus document. J Am Coll </w:t>
      </w:r>
      <w:proofErr w:type="spellStart"/>
      <w:r w:rsidRPr="003829A3">
        <w:rPr>
          <w:lang w:val="en-US"/>
        </w:rPr>
        <w:t>Cardiol</w:t>
      </w:r>
      <w:proofErr w:type="spellEnd"/>
      <w:r w:rsidRPr="003829A3">
        <w:rPr>
          <w:lang w:val="en-US"/>
        </w:rPr>
        <w:t>. 2012;60(15):1438–54.</w:t>
      </w:r>
    </w:p>
    <w:p w:rsidR="003829A3" w:rsidRDefault="003829A3" w:rsidP="003829A3">
      <w:pPr>
        <w:ind w:left="415"/>
        <w:jc w:val="both"/>
        <w:rPr>
          <w:lang w:val="en-US"/>
        </w:rPr>
      </w:pPr>
    </w:p>
    <w:p w:rsidR="003829A3" w:rsidRDefault="003829A3" w:rsidP="003829A3">
      <w:pPr>
        <w:pStyle w:val="Prrafodelista"/>
        <w:numPr>
          <w:ilvl w:val="0"/>
          <w:numId w:val="4"/>
        </w:numPr>
        <w:jc w:val="both"/>
      </w:pPr>
      <w:proofErr w:type="spellStart"/>
      <w:r w:rsidRPr="003829A3">
        <w:rPr>
          <w:lang w:val="en-US"/>
        </w:rPr>
        <w:t>Capodanno</w:t>
      </w:r>
      <w:proofErr w:type="spellEnd"/>
      <w:r w:rsidRPr="003829A3">
        <w:rPr>
          <w:lang w:val="en-US"/>
        </w:rPr>
        <w:t xml:space="preserve"> D, </w:t>
      </w:r>
      <w:proofErr w:type="spellStart"/>
      <w:r w:rsidRPr="003829A3">
        <w:rPr>
          <w:lang w:val="en-US"/>
        </w:rPr>
        <w:t>Petronio</w:t>
      </w:r>
      <w:proofErr w:type="spellEnd"/>
      <w:r w:rsidRPr="003829A3">
        <w:rPr>
          <w:lang w:val="en-US"/>
        </w:rPr>
        <w:t xml:space="preserve"> AS, Prendergast B, </w:t>
      </w:r>
      <w:proofErr w:type="spellStart"/>
      <w:r w:rsidRPr="003829A3">
        <w:rPr>
          <w:lang w:val="en-US"/>
        </w:rPr>
        <w:t>Eltchaninoff</w:t>
      </w:r>
      <w:proofErr w:type="spellEnd"/>
      <w:r w:rsidRPr="003829A3">
        <w:rPr>
          <w:lang w:val="en-US"/>
        </w:rPr>
        <w:t xml:space="preserve"> H, et al. Standardized definitions of structural deterioration and valve failure in assessing long-term durability of transcatheter and surgical aortic bioprosthetic valves: a consensus statement from the European Association of Percutaneous Cardiovascular Interventions (EAPCI) endorsed by the European Society of Cardiology (ESC) and the European Association for Cardio-Thoracic Surgery (EACTS). </w:t>
      </w:r>
      <w:proofErr w:type="spellStart"/>
      <w:r w:rsidRPr="00564797">
        <w:t>Eur</w:t>
      </w:r>
      <w:proofErr w:type="spellEnd"/>
      <w:r w:rsidRPr="00564797">
        <w:t xml:space="preserve"> J </w:t>
      </w:r>
      <w:proofErr w:type="spellStart"/>
      <w:r w:rsidRPr="00564797">
        <w:t>Cardiothorac</w:t>
      </w:r>
      <w:proofErr w:type="spellEnd"/>
      <w:r w:rsidRPr="00564797">
        <w:t xml:space="preserve"> </w:t>
      </w:r>
      <w:proofErr w:type="spellStart"/>
      <w:r w:rsidRPr="00564797">
        <w:t>Surg</w:t>
      </w:r>
      <w:proofErr w:type="spellEnd"/>
      <w:r w:rsidRPr="00564797">
        <w:t xml:space="preserve"> </w:t>
      </w:r>
      <w:r>
        <w:t>(</w:t>
      </w:r>
      <w:r w:rsidRPr="00564797">
        <w:t>2017</w:t>
      </w:r>
      <w:r>
        <w:t>)</w:t>
      </w:r>
      <w:r w:rsidRPr="00564797">
        <w:t>;</w:t>
      </w:r>
      <w:r>
        <w:t xml:space="preserve"> </w:t>
      </w:r>
      <w:r w:rsidRPr="00564797">
        <w:t>52:408–17.</w:t>
      </w:r>
      <w:r>
        <w:t xml:space="preserve"> </w:t>
      </w:r>
    </w:p>
    <w:p w:rsidR="003829A3" w:rsidRDefault="003829A3" w:rsidP="003829A3">
      <w:pPr>
        <w:ind w:left="415"/>
        <w:jc w:val="both"/>
      </w:pPr>
    </w:p>
    <w:p w:rsidR="00564797" w:rsidRPr="003829A3" w:rsidRDefault="00564797" w:rsidP="00564797">
      <w:pPr>
        <w:ind w:firstLine="708"/>
        <w:rPr>
          <w:lang w:val="en-US"/>
        </w:rPr>
      </w:pPr>
    </w:p>
    <w:sectPr w:rsidR="00564797" w:rsidRPr="003829A3" w:rsidSect="00137C7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EF4"/>
    <w:multiLevelType w:val="hybridMultilevel"/>
    <w:tmpl w:val="52609D5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F3E6EE4"/>
    <w:multiLevelType w:val="hybridMultilevel"/>
    <w:tmpl w:val="02166396"/>
    <w:lvl w:ilvl="0" w:tplc="040A0001">
      <w:start w:val="1"/>
      <w:numFmt w:val="bullet"/>
      <w:lvlText w:val=""/>
      <w:lvlJc w:val="left"/>
      <w:pPr>
        <w:ind w:left="775" w:hanging="360"/>
      </w:pPr>
      <w:rPr>
        <w:rFonts w:ascii="Symbol" w:hAnsi="Symbol" w:hint="default"/>
      </w:rPr>
    </w:lvl>
    <w:lvl w:ilvl="1" w:tplc="040A0003" w:tentative="1">
      <w:start w:val="1"/>
      <w:numFmt w:val="bullet"/>
      <w:lvlText w:val="o"/>
      <w:lvlJc w:val="left"/>
      <w:pPr>
        <w:ind w:left="1495" w:hanging="360"/>
      </w:pPr>
      <w:rPr>
        <w:rFonts w:ascii="Courier New" w:hAnsi="Courier New" w:cs="Courier New" w:hint="default"/>
      </w:rPr>
    </w:lvl>
    <w:lvl w:ilvl="2" w:tplc="040A0005" w:tentative="1">
      <w:start w:val="1"/>
      <w:numFmt w:val="bullet"/>
      <w:lvlText w:val=""/>
      <w:lvlJc w:val="left"/>
      <w:pPr>
        <w:ind w:left="2215" w:hanging="360"/>
      </w:pPr>
      <w:rPr>
        <w:rFonts w:ascii="Wingdings" w:hAnsi="Wingdings" w:hint="default"/>
      </w:rPr>
    </w:lvl>
    <w:lvl w:ilvl="3" w:tplc="040A0001" w:tentative="1">
      <w:start w:val="1"/>
      <w:numFmt w:val="bullet"/>
      <w:lvlText w:val=""/>
      <w:lvlJc w:val="left"/>
      <w:pPr>
        <w:ind w:left="2935" w:hanging="360"/>
      </w:pPr>
      <w:rPr>
        <w:rFonts w:ascii="Symbol" w:hAnsi="Symbol" w:hint="default"/>
      </w:rPr>
    </w:lvl>
    <w:lvl w:ilvl="4" w:tplc="040A0003" w:tentative="1">
      <w:start w:val="1"/>
      <w:numFmt w:val="bullet"/>
      <w:lvlText w:val="o"/>
      <w:lvlJc w:val="left"/>
      <w:pPr>
        <w:ind w:left="3655" w:hanging="360"/>
      </w:pPr>
      <w:rPr>
        <w:rFonts w:ascii="Courier New" w:hAnsi="Courier New" w:cs="Courier New" w:hint="default"/>
      </w:rPr>
    </w:lvl>
    <w:lvl w:ilvl="5" w:tplc="040A0005" w:tentative="1">
      <w:start w:val="1"/>
      <w:numFmt w:val="bullet"/>
      <w:lvlText w:val=""/>
      <w:lvlJc w:val="left"/>
      <w:pPr>
        <w:ind w:left="4375" w:hanging="360"/>
      </w:pPr>
      <w:rPr>
        <w:rFonts w:ascii="Wingdings" w:hAnsi="Wingdings" w:hint="default"/>
      </w:rPr>
    </w:lvl>
    <w:lvl w:ilvl="6" w:tplc="040A0001" w:tentative="1">
      <w:start w:val="1"/>
      <w:numFmt w:val="bullet"/>
      <w:lvlText w:val=""/>
      <w:lvlJc w:val="left"/>
      <w:pPr>
        <w:ind w:left="5095" w:hanging="360"/>
      </w:pPr>
      <w:rPr>
        <w:rFonts w:ascii="Symbol" w:hAnsi="Symbol" w:hint="default"/>
      </w:rPr>
    </w:lvl>
    <w:lvl w:ilvl="7" w:tplc="040A0003" w:tentative="1">
      <w:start w:val="1"/>
      <w:numFmt w:val="bullet"/>
      <w:lvlText w:val="o"/>
      <w:lvlJc w:val="left"/>
      <w:pPr>
        <w:ind w:left="5815" w:hanging="360"/>
      </w:pPr>
      <w:rPr>
        <w:rFonts w:ascii="Courier New" w:hAnsi="Courier New" w:cs="Courier New" w:hint="default"/>
      </w:rPr>
    </w:lvl>
    <w:lvl w:ilvl="8" w:tplc="040A0005" w:tentative="1">
      <w:start w:val="1"/>
      <w:numFmt w:val="bullet"/>
      <w:lvlText w:val=""/>
      <w:lvlJc w:val="left"/>
      <w:pPr>
        <w:ind w:left="6535" w:hanging="360"/>
      </w:pPr>
      <w:rPr>
        <w:rFonts w:ascii="Wingdings" w:hAnsi="Wingdings" w:hint="default"/>
      </w:rPr>
    </w:lvl>
  </w:abstractNum>
  <w:abstractNum w:abstractNumId="2" w15:restartNumberingAfterBreak="0">
    <w:nsid w:val="407A56A5"/>
    <w:multiLevelType w:val="hybridMultilevel"/>
    <w:tmpl w:val="76844670"/>
    <w:lvl w:ilvl="0" w:tplc="040A000F">
      <w:start w:val="1"/>
      <w:numFmt w:val="decimal"/>
      <w:lvlText w:val="%1."/>
      <w:lvlJc w:val="left"/>
      <w:pPr>
        <w:ind w:left="1135" w:hanging="360"/>
      </w:pPr>
    </w:lvl>
    <w:lvl w:ilvl="1" w:tplc="040A0019" w:tentative="1">
      <w:start w:val="1"/>
      <w:numFmt w:val="lowerLetter"/>
      <w:lvlText w:val="%2."/>
      <w:lvlJc w:val="left"/>
      <w:pPr>
        <w:ind w:left="1855" w:hanging="360"/>
      </w:pPr>
    </w:lvl>
    <w:lvl w:ilvl="2" w:tplc="040A001B" w:tentative="1">
      <w:start w:val="1"/>
      <w:numFmt w:val="lowerRoman"/>
      <w:lvlText w:val="%3."/>
      <w:lvlJc w:val="right"/>
      <w:pPr>
        <w:ind w:left="2575" w:hanging="180"/>
      </w:pPr>
    </w:lvl>
    <w:lvl w:ilvl="3" w:tplc="040A000F" w:tentative="1">
      <w:start w:val="1"/>
      <w:numFmt w:val="decimal"/>
      <w:lvlText w:val="%4."/>
      <w:lvlJc w:val="left"/>
      <w:pPr>
        <w:ind w:left="3295" w:hanging="360"/>
      </w:pPr>
    </w:lvl>
    <w:lvl w:ilvl="4" w:tplc="040A0019" w:tentative="1">
      <w:start w:val="1"/>
      <w:numFmt w:val="lowerLetter"/>
      <w:lvlText w:val="%5."/>
      <w:lvlJc w:val="left"/>
      <w:pPr>
        <w:ind w:left="4015" w:hanging="360"/>
      </w:pPr>
    </w:lvl>
    <w:lvl w:ilvl="5" w:tplc="040A001B" w:tentative="1">
      <w:start w:val="1"/>
      <w:numFmt w:val="lowerRoman"/>
      <w:lvlText w:val="%6."/>
      <w:lvlJc w:val="right"/>
      <w:pPr>
        <w:ind w:left="4735" w:hanging="180"/>
      </w:pPr>
    </w:lvl>
    <w:lvl w:ilvl="6" w:tplc="040A000F" w:tentative="1">
      <w:start w:val="1"/>
      <w:numFmt w:val="decimal"/>
      <w:lvlText w:val="%7."/>
      <w:lvlJc w:val="left"/>
      <w:pPr>
        <w:ind w:left="5455" w:hanging="360"/>
      </w:pPr>
    </w:lvl>
    <w:lvl w:ilvl="7" w:tplc="040A0019" w:tentative="1">
      <w:start w:val="1"/>
      <w:numFmt w:val="lowerLetter"/>
      <w:lvlText w:val="%8."/>
      <w:lvlJc w:val="left"/>
      <w:pPr>
        <w:ind w:left="6175" w:hanging="360"/>
      </w:pPr>
    </w:lvl>
    <w:lvl w:ilvl="8" w:tplc="040A001B" w:tentative="1">
      <w:start w:val="1"/>
      <w:numFmt w:val="lowerRoman"/>
      <w:lvlText w:val="%9."/>
      <w:lvlJc w:val="right"/>
      <w:pPr>
        <w:ind w:left="6895" w:hanging="180"/>
      </w:pPr>
    </w:lvl>
  </w:abstractNum>
  <w:abstractNum w:abstractNumId="3" w15:restartNumberingAfterBreak="0">
    <w:nsid w:val="4D963DFE"/>
    <w:multiLevelType w:val="hybridMultilevel"/>
    <w:tmpl w:val="0630BA4C"/>
    <w:lvl w:ilvl="0" w:tplc="040A0001">
      <w:start w:val="1"/>
      <w:numFmt w:val="bullet"/>
      <w:lvlText w:val=""/>
      <w:lvlJc w:val="left"/>
      <w:pPr>
        <w:ind w:left="775" w:hanging="360"/>
      </w:pPr>
      <w:rPr>
        <w:rFonts w:ascii="Symbol" w:hAnsi="Symbol" w:hint="default"/>
      </w:rPr>
    </w:lvl>
    <w:lvl w:ilvl="1" w:tplc="040A0003" w:tentative="1">
      <w:start w:val="1"/>
      <w:numFmt w:val="bullet"/>
      <w:lvlText w:val="o"/>
      <w:lvlJc w:val="left"/>
      <w:pPr>
        <w:ind w:left="1495" w:hanging="360"/>
      </w:pPr>
      <w:rPr>
        <w:rFonts w:ascii="Courier New" w:hAnsi="Courier New" w:cs="Courier New" w:hint="default"/>
      </w:rPr>
    </w:lvl>
    <w:lvl w:ilvl="2" w:tplc="040A0005" w:tentative="1">
      <w:start w:val="1"/>
      <w:numFmt w:val="bullet"/>
      <w:lvlText w:val=""/>
      <w:lvlJc w:val="left"/>
      <w:pPr>
        <w:ind w:left="2215" w:hanging="360"/>
      </w:pPr>
      <w:rPr>
        <w:rFonts w:ascii="Wingdings" w:hAnsi="Wingdings" w:hint="default"/>
      </w:rPr>
    </w:lvl>
    <w:lvl w:ilvl="3" w:tplc="040A0001" w:tentative="1">
      <w:start w:val="1"/>
      <w:numFmt w:val="bullet"/>
      <w:lvlText w:val=""/>
      <w:lvlJc w:val="left"/>
      <w:pPr>
        <w:ind w:left="2935" w:hanging="360"/>
      </w:pPr>
      <w:rPr>
        <w:rFonts w:ascii="Symbol" w:hAnsi="Symbol" w:hint="default"/>
      </w:rPr>
    </w:lvl>
    <w:lvl w:ilvl="4" w:tplc="040A0003" w:tentative="1">
      <w:start w:val="1"/>
      <w:numFmt w:val="bullet"/>
      <w:lvlText w:val="o"/>
      <w:lvlJc w:val="left"/>
      <w:pPr>
        <w:ind w:left="3655" w:hanging="360"/>
      </w:pPr>
      <w:rPr>
        <w:rFonts w:ascii="Courier New" w:hAnsi="Courier New" w:cs="Courier New" w:hint="default"/>
      </w:rPr>
    </w:lvl>
    <w:lvl w:ilvl="5" w:tplc="040A0005" w:tentative="1">
      <w:start w:val="1"/>
      <w:numFmt w:val="bullet"/>
      <w:lvlText w:val=""/>
      <w:lvlJc w:val="left"/>
      <w:pPr>
        <w:ind w:left="4375" w:hanging="360"/>
      </w:pPr>
      <w:rPr>
        <w:rFonts w:ascii="Wingdings" w:hAnsi="Wingdings" w:hint="default"/>
      </w:rPr>
    </w:lvl>
    <w:lvl w:ilvl="6" w:tplc="040A0001" w:tentative="1">
      <w:start w:val="1"/>
      <w:numFmt w:val="bullet"/>
      <w:lvlText w:val=""/>
      <w:lvlJc w:val="left"/>
      <w:pPr>
        <w:ind w:left="5095" w:hanging="360"/>
      </w:pPr>
      <w:rPr>
        <w:rFonts w:ascii="Symbol" w:hAnsi="Symbol" w:hint="default"/>
      </w:rPr>
    </w:lvl>
    <w:lvl w:ilvl="7" w:tplc="040A0003" w:tentative="1">
      <w:start w:val="1"/>
      <w:numFmt w:val="bullet"/>
      <w:lvlText w:val="o"/>
      <w:lvlJc w:val="left"/>
      <w:pPr>
        <w:ind w:left="5815" w:hanging="360"/>
      </w:pPr>
      <w:rPr>
        <w:rFonts w:ascii="Courier New" w:hAnsi="Courier New" w:cs="Courier New" w:hint="default"/>
      </w:rPr>
    </w:lvl>
    <w:lvl w:ilvl="8" w:tplc="040A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14"/>
    <w:rsid w:val="00041CD2"/>
    <w:rsid w:val="00076A32"/>
    <w:rsid w:val="000C157F"/>
    <w:rsid w:val="000F24BC"/>
    <w:rsid w:val="00137C74"/>
    <w:rsid w:val="00162FDA"/>
    <w:rsid w:val="001914E1"/>
    <w:rsid w:val="00211691"/>
    <w:rsid w:val="00272AFC"/>
    <w:rsid w:val="00344E52"/>
    <w:rsid w:val="003829A3"/>
    <w:rsid w:val="003A666D"/>
    <w:rsid w:val="004A60E1"/>
    <w:rsid w:val="00526622"/>
    <w:rsid w:val="0053226D"/>
    <w:rsid w:val="00552075"/>
    <w:rsid w:val="00564797"/>
    <w:rsid w:val="00581F82"/>
    <w:rsid w:val="006C642F"/>
    <w:rsid w:val="007538AC"/>
    <w:rsid w:val="007E2BCD"/>
    <w:rsid w:val="008363FF"/>
    <w:rsid w:val="00870A97"/>
    <w:rsid w:val="008D560B"/>
    <w:rsid w:val="008E3276"/>
    <w:rsid w:val="00917CC4"/>
    <w:rsid w:val="00AB7289"/>
    <w:rsid w:val="00B11014"/>
    <w:rsid w:val="00BB76A4"/>
    <w:rsid w:val="00CD701A"/>
    <w:rsid w:val="00D3261C"/>
    <w:rsid w:val="00DB4DBA"/>
    <w:rsid w:val="00DF217D"/>
    <w:rsid w:val="00E4440E"/>
    <w:rsid w:val="00E90D01"/>
    <w:rsid w:val="00EE6009"/>
    <w:rsid w:val="00F075D3"/>
    <w:rsid w:val="00F57285"/>
    <w:rsid w:val="00F6708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498F759"/>
  <w14:defaultImageDpi w14:val="32767"/>
  <w15:chartTrackingRefBased/>
  <w15:docId w15:val="{6D2458D7-AAC8-2B46-8796-5816DCC6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6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186">
          <w:marLeft w:val="0"/>
          <w:marRight w:val="0"/>
          <w:marTop w:val="0"/>
          <w:marBottom w:val="0"/>
          <w:divBdr>
            <w:top w:val="none" w:sz="0" w:space="0" w:color="auto"/>
            <w:left w:val="none" w:sz="0" w:space="0" w:color="auto"/>
            <w:bottom w:val="none" w:sz="0" w:space="0" w:color="auto"/>
            <w:right w:val="none" w:sz="0" w:space="0" w:color="auto"/>
          </w:divBdr>
          <w:divsChild>
            <w:div w:id="302777191">
              <w:marLeft w:val="0"/>
              <w:marRight w:val="0"/>
              <w:marTop w:val="0"/>
              <w:marBottom w:val="0"/>
              <w:divBdr>
                <w:top w:val="none" w:sz="0" w:space="0" w:color="auto"/>
                <w:left w:val="none" w:sz="0" w:space="0" w:color="auto"/>
                <w:bottom w:val="none" w:sz="0" w:space="0" w:color="auto"/>
                <w:right w:val="none" w:sz="0" w:space="0" w:color="auto"/>
              </w:divBdr>
              <w:divsChild>
                <w:div w:id="2075202538">
                  <w:marLeft w:val="0"/>
                  <w:marRight w:val="0"/>
                  <w:marTop w:val="0"/>
                  <w:marBottom w:val="0"/>
                  <w:divBdr>
                    <w:top w:val="none" w:sz="0" w:space="0" w:color="auto"/>
                    <w:left w:val="none" w:sz="0" w:space="0" w:color="auto"/>
                    <w:bottom w:val="none" w:sz="0" w:space="0" w:color="auto"/>
                    <w:right w:val="none" w:sz="0" w:space="0" w:color="auto"/>
                  </w:divBdr>
                  <w:divsChild>
                    <w:div w:id="21392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83110">
      <w:bodyDiv w:val="1"/>
      <w:marLeft w:val="0"/>
      <w:marRight w:val="0"/>
      <w:marTop w:val="0"/>
      <w:marBottom w:val="0"/>
      <w:divBdr>
        <w:top w:val="none" w:sz="0" w:space="0" w:color="auto"/>
        <w:left w:val="none" w:sz="0" w:space="0" w:color="auto"/>
        <w:bottom w:val="none" w:sz="0" w:space="0" w:color="auto"/>
        <w:right w:val="none" w:sz="0" w:space="0" w:color="auto"/>
      </w:divBdr>
      <w:divsChild>
        <w:div w:id="629481405">
          <w:marLeft w:val="0"/>
          <w:marRight w:val="0"/>
          <w:marTop w:val="0"/>
          <w:marBottom w:val="0"/>
          <w:divBdr>
            <w:top w:val="none" w:sz="0" w:space="0" w:color="auto"/>
            <w:left w:val="none" w:sz="0" w:space="0" w:color="auto"/>
            <w:bottom w:val="none" w:sz="0" w:space="0" w:color="auto"/>
            <w:right w:val="none" w:sz="0" w:space="0" w:color="auto"/>
          </w:divBdr>
          <w:divsChild>
            <w:div w:id="229971160">
              <w:marLeft w:val="0"/>
              <w:marRight w:val="0"/>
              <w:marTop w:val="0"/>
              <w:marBottom w:val="0"/>
              <w:divBdr>
                <w:top w:val="none" w:sz="0" w:space="0" w:color="auto"/>
                <w:left w:val="none" w:sz="0" w:space="0" w:color="auto"/>
                <w:bottom w:val="none" w:sz="0" w:space="0" w:color="auto"/>
                <w:right w:val="none" w:sz="0" w:space="0" w:color="auto"/>
              </w:divBdr>
              <w:divsChild>
                <w:div w:id="3735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00327">
      <w:bodyDiv w:val="1"/>
      <w:marLeft w:val="0"/>
      <w:marRight w:val="0"/>
      <w:marTop w:val="0"/>
      <w:marBottom w:val="0"/>
      <w:divBdr>
        <w:top w:val="none" w:sz="0" w:space="0" w:color="auto"/>
        <w:left w:val="none" w:sz="0" w:space="0" w:color="auto"/>
        <w:bottom w:val="none" w:sz="0" w:space="0" w:color="auto"/>
        <w:right w:val="none" w:sz="0" w:space="0" w:color="auto"/>
      </w:divBdr>
      <w:divsChild>
        <w:div w:id="1407263130">
          <w:marLeft w:val="0"/>
          <w:marRight w:val="0"/>
          <w:marTop w:val="0"/>
          <w:marBottom w:val="0"/>
          <w:divBdr>
            <w:top w:val="none" w:sz="0" w:space="0" w:color="auto"/>
            <w:left w:val="none" w:sz="0" w:space="0" w:color="auto"/>
            <w:bottom w:val="none" w:sz="0" w:space="0" w:color="auto"/>
            <w:right w:val="none" w:sz="0" w:space="0" w:color="auto"/>
          </w:divBdr>
          <w:divsChild>
            <w:div w:id="730150928">
              <w:marLeft w:val="0"/>
              <w:marRight w:val="0"/>
              <w:marTop w:val="0"/>
              <w:marBottom w:val="0"/>
              <w:divBdr>
                <w:top w:val="none" w:sz="0" w:space="0" w:color="auto"/>
                <w:left w:val="none" w:sz="0" w:space="0" w:color="auto"/>
                <w:bottom w:val="none" w:sz="0" w:space="0" w:color="auto"/>
                <w:right w:val="none" w:sz="0" w:space="0" w:color="auto"/>
              </w:divBdr>
              <w:divsChild>
                <w:div w:id="13123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6249">
      <w:bodyDiv w:val="1"/>
      <w:marLeft w:val="0"/>
      <w:marRight w:val="0"/>
      <w:marTop w:val="0"/>
      <w:marBottom w:val="0"/>
      <w:divBdr>
        <w:top w:val="none" w:sz="0" w:space="0" w:color="auto"/>
        <w:left w:val="none" w:sz="0" w:space="0" w:color="auto"/>
        <w:bottom w:val="none" w:sz="0" w:space="0" w:color="auto"/>
        <w:right w:val="none" w:sz="0" w:space="0" w:color="auto"/>
      </w:divBdr>
      <w:divsChild>
        <w:div w:id="1898085787">
          <w:marLeft w:val="0"/>
          <w:marRight w:val="0"/>
          <w:marTop w:val="0"/>
          <w:marBottom w:val="0"/>
          <w:divBdr>
            <w:top w:val="none" w:sz="0" w:space="0" w:color="auto"/>
            <w:left w:val="none" w:sz="0" w:space="0" w:color="auto"/>
            <w:bottom w:val="none" w:sz="0" w:space="0" w:color="auto"/>
            <w:right w:val="none" w:sz="0" w:space="0" w:color="auto"/>
          </w:divBdr>
          <w:divsChild>
            <w:div w:id="583612803">
              <w:marLeft w:val="0"/>
              <w:marRight w:val="0"/>
              <w:marTop w:val="0"/>
              <w:marBottom w:val="0"/>
              <w:divBdr>
                <w:top w:val="none" w:sz="0" w:space="0" w:color="auto"/>
                <w:left w:val="none" w:sz="0" w:space="0" w:color="auto"/>
                <w:bottom w:val="none" w:sz="0" w:space="0" w:color="auto"/>
                <w:right w:val="none" w:sz="0" w:space="0" w:color="auto"/>
              </w:divBdr>
              <w:divsChild>
                <w:div w:id="2123567069">
                  <w:marLeft w:val="0"/>
                  <w:marRight w:val="0"/>
                  <w:marTop w:val="0"/>
                  <w:marBottom w:val="0"/>
                  <w:divBdr>
                    <w:top w:val="none" w:sz="0" w:space="0" w:color="auto"/>
                    <w:left w:val="none" w:sz="0" w:space="0" w:color="auto"/>
                    <w:bottom w:val="none" w:sz="0" w:space="0" w:color="auto"/>
                    <w:right w:val="none" w:sz="0" w:space="0" w:color="auto"/>
                  </w:divBdr>
                  <w:divsChild>
                    <w:div w:id="480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846">
      <w:bodyDiv w:val="1"/>
      <w:marLeft w:val="0"/>
      <w:marRight w:val="0"/>
      <w:marTop w:val="0"/>
      <w:marBottom w:val="0"/>
      <w:divBdr>
        <w:top w:val="none" w:sz="0" w:space="0" w:color="auto"/>
        <w:left w:val="none" w:sz="0" w:space="0" w:color="auto"/>
        <w:bottom w:val="none" w:sz="0" w:space="0" w:color="auto"/>
        <w:right w:val="none" w:sz="0" w:space="0" w:color="auto"/>
      </w:divBdr>
      <w:divsChild>
        <w:div w:id="3633302">
          <w:marLeft w:val="0"/>
          <w:marRight w:val="0"/>
          <w:marTop w:val="0"/>
          <w:marBottom w:val="0"/>
          <w:divBdr>
            <w:top w:val="none" w:sz="0" w:space="0" w:color="auto"/>
            <w:left w:val="none" w:sz="0" w:space="0" w:color="auto"/>
            <w:bottom w:val="none" w:sz="0" w:space="0" w:color="auto"/>
            <w:right w:val="none" w:sz="0" w:space="0" w:color="auto"/>
          </w:divBdr>
          <w:divsChild>
            <w:div w:id="1830754662">
              <w:marLeft w:val="0"/>
              <w:marRight w:val="0"/>
              <w:marTop w:val="0"/>
              <w:marBottom w:val="0"/>
              <w:divBdr>
                <w:top w:val="none" w:sz="0" w:space="0" w:color="auto"/>
                <w:left w:val="none" w:sz="0" w:space="0" w:color="auto"/>
                <w:bottom w:val="none" w:sz="0" w:space="0" w:color="auto"/>
                <w:right w:val="none" w:sz="0" w:space="0" w:color="auto"/>
              </w:divBdr>
              <w:divsChild>
                <w:div w:id="1035428510">
                  <w:marLeft w:val="0"/>
                  <w:marRight w:val="0"/>
                  <w:marTop w:val="0"/>
                  <w:marBottom w:val="0"/>
                  <w:divBdr>
                    <w:top w:val="none" w:sz="0" w:space="0" w:color="auto"/>
                    <w:left w:val="none" w:sz="0" w:space="0" w:color="auto"/>
                    <w:bottom w:val="none" w:sz="0" w:space="0" w:color="auto"/>
                    <w:right w:val="none" w:sz="0" w:space="0" w:color="auto"/>
                  </w:divBdr>
                  <w:divsChild>
                    <w:div w:id="2938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5810">
      <w:bodyDiv w:val="1"/>
      <w:marLeft w:val="0"/>
      <w:marRight w:val="0"/>
      <w:marTop w:val="0"/>
      <w:marBottom w:val="0"/>
      <w:divBdr>
        <w:top w:val="none" w:sz="0" w:space="0" w:color="auto"/>
        <w:left w:val="none" w:sz="0" w:space="0" w:color="auto"/>
        <w:bottom w:val="none" w:sz="0" w:space="0" w:color="auto"/>
        <w:right w:val="none" w:sz="0" w:space="0" w:color="auto"/>
      </w:divBdr>
      <w:divsChild>
        <w:div w:id="1344551893">
          <w:marLeft w:val="0"/>
          <w:marRight w:val="0"/>
          <w:marTop w:val="0"/>
          <w:marBottom w:val="0"/>
          <w:divBdr>
            <w:top w:val="none" w:sz="0" w:space="0" w:color="auto"/>
            <w:left w:val="none" w:sz="0" w:space="0" w:color="auto"/>
            <w:bottom w:val="none" w:sz="0" w:space="0" w:color="auto"/>
            <w:right w:val="none" w:sz="0" w:space="0" w:color="auto"/>
          </w:divBdr>
          <w:divsChild>
            <w:div w:id="1647540031">
              <w:marLeft w:val="0"/>
              <w:marRight w:val="0"/>
              <w:marTop w:val="0"/>
              <w:marBottom w:val="0"/>
              <w:divBdr>
                <w:top w:val="none" w:sz="0" w:space="0" w:color="auto"/>
                <w:left w:val="none" w:sz="0" w:space="0" w:color="auto"/>
                <w:bottom w:val="none" w:sz="0" w:space="0" w:color="auto"/>
                <w:right w:val="none" w:sz="0" w:space="0" w:color="auto"/>
              </w:divBdr>
              <w:divsChild>
                <w:div w:id="20429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Moris</dc:creator>
  <cp:keywords/>
  <dc:description/>
  <cp:lastModifiedBy>Cesar Moris</cp:lastModifiedBy>
  <cp:revision>8</cp:revision>
  <dcterms:created xsi:type="dcterms:W3CDTF">2018-09-22T09:32:00Z</dcterms:created>
  <dcterms:modified xsi:type="dcterms:W3CDTF">2018-09-23T07:20:00Z</dcterms:modified>
</cp:coreProperties>
</file>